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7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昆明三中呈贡学校（呈贡一中）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体育传统项目学校招生考试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足球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项目考核标准（初中升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高中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一、测试方法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1.颠球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测试目的：测试学生的球感。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测试方法:考生可用脚、大腿、胸、肩和头等部位，随意连续颠球。主考者数计颠球个数。如果球落地或者用手持球，则为1次颠球结束。每人可测两次，取最佳一次成绩。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（3）场地器材：5号足球。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0分。</w:t>
      </w:r>
    </w:p>
    <w:p>
      <w:pPr>
        <w:spacing w:line="60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2. 定点踢准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（1）测试目的：测试学生足球定位球技能水平。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（2）测试方法：将球静置于起点限制线上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考生站于起点限制线后，向半径为3米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圆内传球（起点限制线长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米，与圆心距离2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左右脚均可，连续踢10次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球须离开地面，以球的第一落点评分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踢出的球第一落点在有效区域内或线上，则成绩有效，如落点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有效区域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不得分，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每人一次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测试机会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（3）场地器材：标志盘，标志杆（高1.5米），5号足球。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spacing w:line="60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3. 向后侧挡板传接球运球绕杆射门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（1）测试目的：测试学生足球传接球、运球、射门技术。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（2）测试方法：考生用脚将球踢向后侧挡板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左右脚各一次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，完成后运球逐个绕过标志杆后射门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开表计时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脚部触球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，球越过球门线时停表。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场地设置：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在距球门线中点34米处画长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米的起点线（与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挡板及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球门线平行），起点线中心向后5米处摆放1块挡板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第1根标志杆距离起点线中点6米，依次摆放第2、3、4、5根标志杆，标志杆间距3米，第5根标志杆距离球门线中点16米。每人测试2次，取最佳成绩。未踢中挡板、运球漏杆或未射中球门范围内则无成绩。每人可测2次，射中球门立柱或横梁可补测1次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（3）场地器材：标志杆（高1.5米），挡板（长2米，高0.6米），5号足球，标准球门，秒表。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4.分组比赛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（1）测试方法：进行至少15分钟的分队比赛。根据考试人数组织比赛或对抗性足球技能测评。注：考试人数不足时，或请助考者参与相应的比赛测试。评分按优、良、中、及格、不及格进行评分。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（3）场地器材：根据报考人数，进行全场或二分之一场比赛，5号足球。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华文仿宋" w:hAnsi="华文仿宋" w:eastAsia="华文仿宋" w:cs="华文仿宋"/>
          <w:b/>
          <w:szCs w:val="21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二、评分标准（足球专项总分100分）</w:t>
      </w:r>
    </w:p>
    <w:tbl>
      <w:tblPr>
        <w:tblStyle w:val="4"/>
        <w:tblW w:w="8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76"/>
        <w:gridCol w:w="1134"/>
        <w:gridCol w:w="1134"/>
        <w:gridCol w:w="1276"/>
        <w:gridCol w:w="1134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颠球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0分）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运球绕杆射门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分）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踢准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比赛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0分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8"</w:t>
            </w:r>
            <w:r>
              <w:rPr>
                <w:rFonts w:ascii="华文仿宋" w:hAnsi="华文仿宋" w:eastAsia="华文仿宋" w:cs="华文仿宋"/>
                <w:sz w:val="24"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40-36分</w:t>
            </w:r>
          </w:p>
        </w:tc>
        <w:tc>
          <w:tcPr>
            <w:tcW w:w="1134" w:type="dxa"/>
            <w:vAlign w:val="center"/>
          </w:tcPr>
          <w:p>
            <w:pPr>
              <w:ind w:left="360" w:hanging="360" w:hangingChars="150"/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优++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9"0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优+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8分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9"5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7分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10"0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35-30分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良++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10"5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良+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11"0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11"5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29-25分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中++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12"0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中+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12"5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10分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≤13"0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24-20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19-0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不及格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守门员评分标准（专项总分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0分）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颠球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测试方法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考生可用脚、大腿、胸、肩和头等部位，随意连续颠球。主考者数计颠球个数。如果球落地或者用手持球，则为1次颠球结束。 每人做两次，取最佳一次成绩。考生若任意一次连续颠球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0次，可得满分。评分标准详见评分表。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  <w:t>2.20米单手肩上手抛球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  <w:t>测试方法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  <w:t>考生可用任意手单手由身后经肩上将球抛向距离15米处左右两侧5人制球门，球必须空中进门，球击中球门框也算成绩，未击中球门框或没有空中进门则无成绩。共抛5次，详见评分表。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  <w:t>3.25米踢准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  <w:t>测试方法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考生可用任意脚的脚背正面或脚背内侧将球踢向距离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20米处7人制足球门，球必须空中进门或击中球门框则有成绩，未空中进门或未击中门框则无成绩。共踢5次，详见评分表。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助跑单脚起跳接高球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左右脚滑步扑接球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比赛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足球专项测试成绩未达到42分的考生，不能进入身体素质测试和录取名单。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守门员身高超过185CM的每超1CM在专项考试中加1分，最高不超过5分。</w:t>
      </w:r>
    </w:p>
    <w:tbl>
      <w:tblPr>
        <w:tblStyle w:val="4"/>
        <w:tblW w:w="8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09"/>
        <w:gridCol w:w="952"/>
        <w:gridCol w:w="1081"/>
        <w:gridCol w:w="764"/>
        <w:gridCol w:w="1092"/>
        <w:gridCol w:w="105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64" w:type="dxa"/>
            <w:vAlign w:val="center"/>
          </w:tcPr>
          <w:p>
            <w:pPr>
              <w:spacing w:after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分值成绩项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目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</w:rPr>
              <w:t>颠球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</w:rPr>
              <w:t>10分</w:t>
            </w: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  <w:t>20米单手肩上手抛球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  <w:t>25米踢准10分</w:t>
            </w:r>
          </w:p>
        </w:tc>
        <w:tc>
          <w:tcPr>
            <w:tcW w:w="764" w:type="dxa"/>
            <w:vAlign w:val="center"/>
          </w:tcPr>
          <w:p>
            <w:pPr>
              <w:spacing w:after="0"/>
              <w:jc w:val="both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分值成绩项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目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助跑单脚起跳接高球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左右脚滑步扑接球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677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比赛（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7" w:type="dxa"/>
            <w:vMerge w:val="restart"/>
            <w:shd w:val="clear" w:color="auto" w:fill="C5D9F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1、场上作风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选位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配合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  <w:p>
            <w:pPr>
              <w:ind w:left="360" w:hanging="360" w:hangingChars="1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4、运用技术的合理性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  <w:p>
            <w:pPr>
              <w:ind w:left="360" w:hanging="360" w:hangingChars="1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5、位置技术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</w:rPr>
            </w:pP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0分</w:t>
            </w:r>
          </w:p>
        </w:tc>
        <w:tc>
          <w:tcPr>
            <w:tcW w:w="809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</w:rPr>
            </w:pPr>
          </w:p>
        </w:tc>
        <w:tc>
          <w:tcPr>
            <w:tcW w:w="95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0分</w:t>
            </w:r>
          </w:p>
        </w:tc>
        <w:tc>
          <w:tcPr>
            <w:tcW w:w="109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TMwNTA4MGY3ZGI4OTQxZDk3ZDg2YjE0NjY5ODYifQ=="/>
  </w:docVars>
  <w:rsids>
    <w:rsidRoot w:val="00960DC9"/>
    <w:rsid w:val="000366F2"/>
    <w:rsid w:val="0006565F"/>
    <w:rsid w:val="004A3590"/>
    <w:rsid w:val="004A4CCC"/>
    <w:rsid w:val="005D0C22"/>
    <w:rsid w:val="00604CBD"/>
    <w:rsid w:val="006E38D5"/>
    <w:rsid w:val="007C40F3"/>
    <w:rsid w:val="00840C66"/>
    <w:rsid w:val="008C7E1A"/>
    <w:rsid w:val="00960DC9"/>
    <w:rsid w:val="009F537A"/>
    <w:rsid w:val="00A56FF2"/>
    <w:rsid w:val="00AB5B9D"/>
    <w:rsid w:val="00B157D8"/>
    <w:rsid w:val="00BB3BD0"/>
    <w:rsid w:val="00C349B7"/>
    <w:rsid w:val="00C37E47"/>
    <w:rsid w:val="00CB645F"/>
    <w:rsid w:val="00EA36C6"/>
    <w:rsid w:val="00F14C8A"/>
    <w:rsid w:val="00FE3C0F"/>
    <w:rsid w:val="00FF1B11"/>
    <w:rsid w:val="00FF4376"/>
    <w:rsid w:val="036D6A02"/>
    <w:rsid w:val="0B2F000B"/>
    <w:rsid w:val="3F3B7C8E"/>
    <w:rsid w:val="4D7F4EAC"/>
    <w:rsid w:val="4E1F0211"/>
    <w:rsid w:val="4F0B167A"/>
    <w:rsid w:val="4F5D6825"/>
    <w:rsid w:val="57D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1033</Words>
  <Characters>1138</Characters>
  <Lines>9</Lines>
  <Paragraphs>2</Paragraphs>
  <TotalTime>187</TotalTime>
  <ScaleCrop>false</ScaleCrop>
  <LinksUpToDate>false</LinksUpToDate>
  <CharactersWithSpaces>1140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2022-04-12T04:41:00Z</dcterms:created>
  <dc:creator>Administrator</dc:creator>
  <cp:lastModifiedBy>LENOVO</cp:lastModifiedBy>
  <dcterms:modified xsi:type="dcterms:W3CDTF">2024-04-09T06:45:07Z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F1C1A28830A74FC299DF41FC758533DF</vt:lpwstr>
  </property>
</Properties>
</file>