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jc w:val="left"/>
        <w:rPr>
          <w:rFonts w:hint="default" w:ascii="黑体" w:hAnsi="黑体" w:eastAsia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  <w:t>8</w:t>
      </w:r>
      <w:bookmarkStart w:id="0" w:name="_GoBack"/>
      <w:bookmarkEnd w:id="0"/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昆明三中呈贡学校（呈贡一中）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体育传统项目学校招生考试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排球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项目考核标准（初中升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高中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/>
        <w:textAlignment w:val="baseline"/>
        <w:rPr>
          <w:rFonts w:hint="eastAsia" w:ascii="仿宋" w:hAnsi="仿宋" w:eastAsia="仿宋" w:cs="仿宋"/>
          <w:b/>
          <w:bCs/>
          <w:spacing w:val="-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"/>
          <w:sz w:val="32"/>
          <w:szCs w:val="32"/>
        </w:rPr>
        <w:t>1、助跑摸高：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</w:rPr>
        <w:t>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A.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测验方法：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采用二、三步助跑，双脚起跳，用单手摸高，每人跳三次，取最高次计算成绩。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B.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评分标准：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其达标成绩详见试评分表。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/>
        <w:textAlignment w:val="baseline"/>
        <w:rPr>
          <w:rFonts w:hint="eastAsia" w:ascii="仿宋" w:hAnsi="仿宋" w:eastAsia="仿宋" w:cs="仿宋"/>
          <w:b/>
          <w:bCs/>
          <w:spacing w:val="-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</w:rPr>
        <w:t>发球技术：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</w:rPr>
        <w:t>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A.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测验方法：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上手飘球、勾手飘球、大力发球任选一种，站在发球区内连续发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个球。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B.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评分标准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①达标：满分为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分，每失误一个扣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分；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②技评：满分为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分，按 4 个等级评定，相应给分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636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优秀（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4分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：抛球和挥臂正确合理，动作熟练、协调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击球部位准确、性能较好、失误较少。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636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良好（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3.5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— 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分）：抛球和挥臂基本正确，动作协调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击球准确、性能一般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636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及格（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2.5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分）：抛球和挥臂尚正确，动作不够连贯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性能较差。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不及格（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1.5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分以下）：抛球和挥臂不正确，动作不协调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失误较多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/>
        <w:textAlignment w:val="baseline"/>
        <w:rPr>
          <w:rFonts w:hint="eastAsia" w:ascii="仿宋" w:hAnsi="仿宋" w:eastAsia="仿宋" w:cs="仿宋"/>
          <w:b/>
          <w:bCs/>
          <w:spacing w:val="-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</w:rPr>
        <w:t xml:space="preserve">. 垫球技术 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</w:rPr>
        <w:t>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测验方法：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接对方中场掷过来的球，站在 6 号区双手垫球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次，要求垫到2,3 号位之间，有一定弧度，距网 60—80 厘米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B.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评分标准：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①达标：满分为 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分，每失误一个扣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分；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②技评：满分为 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分，按 4 个等级评定，相应给分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 w:firstLine="636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优秀（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分）：判断取位好、移动步伐正确熟练，动作协调，手型正确，控制球较好；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 w:firstLine="636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良好（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3.5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— 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分）：判断取位尚好、移动步伐正确熟练，动作协调，手型正确，控制球能力一般；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 w:firstLine="636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及格（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2.5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分）：判断取位一般、移动步伐较慢，动作不太协调，手型基本正确，控制球能力差；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 w:firstLine="636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不及格（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1.5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分以下）：判断不准、移动混乱，动作不协调，手型不正确，控制球能力很差；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</w:rPr>
        <w:t>、传球技术: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</w:rPr>
        <w:t>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A.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测验方法：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636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站在 2、3 号位之间，由后场抛球，向 4 号位传球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次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要求把 球传到 4 号区，离网 30——60 厘米，离边线30—— 100 厘米，有一定弧度，适合于扣球。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B.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评分标准：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①达标：满分为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分，每失误一个扣 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分；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②技评：满分为 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分，按 4 个等级评定，相应给分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 w:firstLine="636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优秀（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— 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分）：移动取位及时，人与球位置合适，传球时 全身发力协调，手型正确，出手清晰，控制球能力强，二传的弧度到位效果好；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 w:firstLine="636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良好（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3.5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分）：移动及时，人与球位置合适，用力协调，手型基本正确，控制球能力一般，效果稍差；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 w:firstLine="636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及格（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2.5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分）：取位不准确，人与球位置不太合适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用力不够协调，手型基本正确，控制球和效果较差；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 w:firstLine="636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不及格（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1.5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分以下）：移动稍慢，对不正来球，用力不协调，手型不正确，有持球现象。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/>
        <w:textAlignment w:val="baseline"/>
        <w:rPr>
          <w:rFonts w:hint="eastAsia" w:ascii="仿宋" w:hAnsi="仿宋" w:eastAsia="仿宋" w:cs="仿宋"/>
          <w:b/>
          <w:bCs/>
          <w:spacing w:val="-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</w:rPr>
        <w:t>、四对四（或六对六）比赛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</w:rPr>
        <w:t>分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A.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测验方法：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按照考生人数多少进行分组，实力尽量分到平均，通过比赛观察 考生各项技术，战术运用能力、临场战术意识和拼搏精神，同时，要参考考生过去的比赛成绩。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B.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评分标准：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 w:firstLine="636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优秀（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分）：攻防技术较全面，组织战术意识强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具有特 长、前排扣、拦网积极攻防勇猛顽强，位置清楚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移动迅速，头脑清楚，随机应变；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 w:firstLine="636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良好（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分）：攻防技术尚全面，能组成一般战术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前排可以扣、拦网，后排防守积极，有一定应变能力；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 w:firstLine="636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及格（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—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分）：攻防技术不够全面，能组成简单战术，扣、拦效果差，防守积极，但移动慢，应变能力差；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23" w:firstLine="636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不及格（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分以下）：攻防技术较差，场上位置不清楚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缺乏应变能力，战术意识较差。</w:t>
      </w:r>
    </w:p>
    <w:p>
      <w:pPr>
        <w:pStyle w:val="2"/>
        <w:spacing w:before="1" w:line="219" w:lineRule="auto"/>
        <w:ind w:left="25"/>
        <w:rPr>
          <w:rFonts w:hint="eastAsia" w:ascii="仿宋" w:hAnsi="仿宋" w:eastAsia="仿宋" w:cs="仿宋"/>
          <w:spacing w:val="-1"/>
          <w:sz w:val="32"/>
          <w:szCs w:val="32"/>
        </w:rPr>
      </w:pPr>
    </w:p>
    <w:p>
      <w:pPr>
        <w:pStyle w:val="2"/>
        <w:spacing w:before="1" w:line="219" w:lineRule="auto"/>
        <w:ind w:left="25"/>
        <w:rPr>
          <w:spacing w:val="-1"/>
        </w:rPr>
      </w:pPr>
    </w:p>
    <w:p>
      <w:pPr>
        <w:pStyle w:val="2"/>
        <w:spacing w:before="1" w:line="219" w:lineRule="auto"/>
        <w:ind w:left="25"/>
        <w:rPr>
          <w:rFonts w:hint="eastAsia"/>
          <w:spacing w:val="-1"/>
        </w:rPr>
      </w:pPr>
    </w:p>
    <w:p>
      <w:pPr>
        <w:pStyle w:val="2"/>
        <w:spacing w:before="1" w:line="219" w:lineRule="auto"/>
        <w:ind w:left="25"/>
        <w:rPr>
          <w:rFonts w:hint="eastAsia"/>
          <w:spacing w:val="-1"/>
        </w:rPr>
      </w:pPr>
    </w:p>
    <w:p>
      <w:pPr>
        <w:pStyle w:val="2"/>
        <w:spacing w:before="1" w:line="219" w:lineRule="auto"/>
        <w:ind w:left="25"/>
        <w:jc w:val="center"/>
        <w:rPr>
          <w:rFonts w:hint="eastAsia" w:ascii="仿宋" w:hAnsi="仿宋" w:eastAsia="仿宋" w:cs="仿宋"/>
          <w:b/>
          <w:bCs/>
          <w:spacing w:val="-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"/>
          <w:sz w:val="32"/>
          <w:szCs w:val="32"/>
        </w:rPr>
        <w:t>初升高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  <w:lang w:val="en-US" w:eastAsia="zh-CN"/>
        </w:rPr>
        <w:t>排球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</w:rPr>
        <w:t>评分标准</w:t>
      </w:r>
    </w:p>
    <w:p>
      <w:pPr>
        <w:pStyle w:val="2"/>
        <w:spacing w:before="1" w:line="219" w:lineRule="auto"/>
        <w:ind w:left="25"/>
        <w:rPr>
          <w:rFonts w:hint="eastAsia"/>
          <w:spacing w:val="-1"/>
        </w:rPr>
      </w:pPr>
    </w:p>
    <w:tbl>
      <w:tblPr>
        <w:tblStyle w:val="3"/>
        <w:tblW w:w="710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2366"/>
        <w:gridCol w:w="23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助跑摸高  </w:t>
            </w:r>
            <w:r>
              <w:rPr>
                <w:rFonts w:hint="eastAsia"/>
                <w:spacing w:val="-1"/>
                <w:lang w:val="en-US" w:eastAsia="zh-CN"/>
              </w:rPr>
              <w:t>15</w:t>
            </w:r>
            <w:r>
              <w:rPr>
                <w:rFonts w:hint="eastAsia"/>
                <w:spacing w:val="-1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3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男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分值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3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3.1米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15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2.8米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3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3.09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  <w:lang w:val="en-US" w:eastAsia="zh-CN"/>
              </w:rPr>
              <w:t>4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3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3.08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13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3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3.07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12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3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3.06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11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3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3.05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10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3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3.04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9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3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3.03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8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3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3.02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7.5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3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3.01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7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3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3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6.5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3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2.99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6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3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2.98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5.5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3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2.97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5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3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2.96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4.5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3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2.95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4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3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2.94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3.5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3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2.93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3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3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2.92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2.5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3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2.91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2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3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2.9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1.5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2.89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1" w:line="219" w:lineRule="auto"/>
              <w:ind w:left="25"/>
              <w:rPr>
                <w:spacing w:val="-1"/>
              </w:rPr>
            </w:pPr>
            <w:r>
              <w:rPr>
                <w:rFonts w:hint="eastAsia"/>
                <w:spacing w:val="-1"/>
              </w:rPr>
              <w:t>2.59</w:t>
            </w:r>
          </w:p>
        </w:tc>
      </w:tr>
    </w:tbl>
    <w:p>
      <w:pPr>
        <w:pStyle w:val="2"/>
        <w:spacing w:before="1" w:line="219" w:lineRule="auto"/>
        <w:ind w:left="25"/>
        <w:rPr>
          <w:spacing w:val="-1"/>
        </w:rPr>
      </w:pPr>
    </w:p>
    <w:p>
      <w:pPr>
        <w:pStyle w:val="2"/>
        <w:spacing w:before="1" w:line="219" w:lineRule="auto"/>
        <w:ind w:left="25"/>
        <w:rPr>
          <w:spacing w:val="-1"/>
        </w:rPr>
      </w:pPr>
    </w:p>
    <w:sectPr>
      <w:headerReference r:id="rId3" w:type="default"/>
      <w:pgSz w:w="11906" w:h="16839"/>
      <w:pgMar w:top="400" w:right="1701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zU2M2E0NTY4YWFjYjc2MTEwMDQ4YzEwNjczODU3YWYifQ=="/>
  </w:docVars>
  <w:rsids>
    <w:rsidRoot w:val="00000000"/>
    <w:rsid w:val="0A5234FA"/>
    <w:rsid w:val="0EEE4AC9"/>
    <w:rsid w:val="433F2E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Office_11.8.6.8722_F1E327BC-269C-435d-A152-05C5408002CA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2020-12-12T19:17:00Z</dcterms:created>
  <dc:creator>Administrator</dc:creator>
  <cp:lastModifiedBy>LENOVO</cp:lastModifiedBy>
  <dcterms:modified xsi:type="dcterms:W3CDTF">2024-04-08T03:19:57Z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2024-04-07T11:27:52Z</vt:filetime>
  </property>
  <property fmtid="{D5CDD505-2E9C-101B-9397-08002B2CF9AE}" pid="4" name="KSOProductBuildVer">
    <vt:lpwstr>2052-11.8.6.8722</vt:lpwstr>
  </property>
  <property fmtid="{D5CDD505-2E9C-101B-9397-08002B2CF9AE}" pid="5" name="ICV">
    <vt:lpwstr>0078F014F34E44418B3AB47EC5A0995E_12</vt:lpwstr>
  </property>
</Properties>
</file>