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四会市适龄随迁子女申请入读义务教育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阶段公办学校起始年级积分指标及分值</w:t>
      </w:r>
    </w:p>
    <w:tbl>
      <w:tblPr>
        <w:tblStyle w:val="3"/>
        <w:tblpPr w:leftFromText="180" w:rightFromText="180" w:vertAnchor="text" w:horzAnchor="page" w:tblpX="936" w:tblpY="1171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615"/>
        <w:gridCol w:w="900"/>
        <w:gridCol w:w="1710"/>
        <w:gridCol w:w="64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8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  <w:t>内容</w:t>
            </w:r>
          </w:p>
        </w:tc>
        <w:tc>
          <w:tcPr>
            <w:tcW w:w="1515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指标项目</w:t>
            </w:r>
          </w:p>
        </w:tc>
        <w:tc>
          <w:tcPr>
            <w:tcW w:w="171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分值及说明</w:t>
            </w:r>
          </w:p>
        </w:tc>
        <w:tc>
          <w:tcPr>
            <w:tcW w:w="6405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计分办法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585" w:type="dxa"/>
            <w:vMerge w:val="restart"/>
            <w:tcBorders>
              <w:top w:val="inset" w:color="000000" w:sz="6" w:space="0"/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  <w:t>基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  <w:t>础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  <w:t>指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  <w:t>标</w:t>
            </w:r>
          </w:p>
        </w:tc>
        <w:tc>
          <w:tcPr>
            <w:tcW w:w="615" w:type="dxa"/>
            <w:tcBorders>
              <w:top w:val="inset" w:color="000000" w:sz="6" w:space="0"/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户籍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条件</w:t>
            </w:r>
          </w:p>
        </w:tc>
        <w:tc>
          <w:tcPr>
            <w:tcW w:w="90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四会户籍或非四会户籍。</w:t>
            </w:r>
          </w:p>
        </w:tc>
        <w:tc>
          <w:tcPr>
            <w:tcW w:w="171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（最高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分）</w:t>
            </w:r>
          </w:p>
        </w:tc>
        <w:tc>
          <w:tcPr>
            <w:tcW w:w="6405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1.父母双方（单亲家庭一方）是四会市户籍，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0分。</w:t>
            </w:r>
          </w:p>
          <w:p>
            <w:pPr>
              <w:spacing w:line="240" w:lineRule="exact"/>
              <w:ind w:firstLine="36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2.父母单方是四会市户籍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分＋另一方居住年限得分（5年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分为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一方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非四会市户籍方最高得分，满6个月加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0.8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分，不足6个月不给分）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，双方累加最高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18分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。                                         </w:t>
            </w:r>
          </w:p>
          <w:p>
            <w:pPr>
              <w:spacing w:line="240" w:lineRule="exact"/>
              <w:ind w:firstLine="36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3.父母双方非四会市户籍计算居住年限得分，满 6个月加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0.8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分，不足6个月不给分；5年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分为单方满分，双方累加最高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分。</w:t>
            </w:r>
          </w:p>
          <w:p>
            <w:pPr>
              <w:spacing w:line="240" w:lineRule="exact"/>
              <w:ind w:firstLine="360" w:firstLineChars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居住年限计算，从子女申请入学的当年报名月份往回推算5年；在5年内办理居住证明为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：肇庆市内非四会市户籍需提供有关部门或住地所在村（居）委会出具的居住证明，肇庆市外户籍需提供《广东省居住证》。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5" w:hRule="atLeast"/>
        </w:trPr>
        <w:tc>
          <w:tcPr>
            <w:tcW w:w="585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inset" w:color="000000" w:sz="6" w:space="0"/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居住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条件</w:t>
            </w:r>
          </w:p>
        </w:tc>
        <w:tc>
          <w:tcPr>
            <w:tcW w:w="900" w:type="dxa"/>
            <w:tcBorders>
              <w:top w:val="inset" w:color="000000" w:sz="6" w:space="0"/>
              <w:left w:val="single" w:color="auto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合法有效居住。</w:t>
            </w:r>
          </w:p>
        </w:tc>
        <w:tc>
          <w:tcPr>
            <w:tcW w:w="171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分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持有多项证件的按最高分值证件计，本项不累计计分，最高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38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分）</w:t>
            </w:r>
          </w:p>
        </w:tc>
        <w:tc>
          <w:tcPr>
            <w:tcW w:w="6405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1.适龄随迁子女本人或父母其中一方持有我市流入居住地合法有效的《房产证》或《不动产权证书》或不动产登记中心出具的查档证明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《购房合同》及有关付款、按揭证明材料，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分；另按照购房时间计算，满6个月加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分（不足6个月不加分）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满分38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分。</w:t>
            </w:r>
          </w:p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2.适龄随迁子女祖父母其中一方持有我市流入居住地合法有效的《房产证》或《不动产权证书》或不动产登记中心出具的查档证明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《购房合同》及有关付款、按揭证明材料，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分；另按照购房时间计算，满6个月加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分（不足6个月不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加分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满分30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分。</w:t>
            </w:r>
          </w:p>
          <w:p>
            <w:pPr>
              <w:spacing w:line="240" w:lineRule="exact"/>
              <w:ind w:firstLine="420" w:firstLineChars="200"/>
              <w:rPr>
                <w:rFonts w:hint="eastAsia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.适龄随迁子女外祖父母其中一方持有我市流入居住地合法有效的《房产证》或《不动产权证书》或不动产登记中心出具的查档证明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《购房合同》及有关付款、按揭证明材料，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分；另按照购房时间计算，满6个月加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分（不足6个月不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加分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满分24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分。</w:t>
            </w:r>
          </w:p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.适龄随迁子女父母其中一方持有我市流入居住地《住房租赁合同》和所租住户主房产证复印件，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分。</w:t>
            </w:r>
          </w:p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.适龄随迁子女父母其中一方居住在工作（就业）单位宿舍的，提交所在工作单位出具的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居住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证明，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585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inset" w:color="000000" w:sz="6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职业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条件</w:t>
            </w:r>
          </w:p>
        </w:tc>
        <w:tc>
          <w:tcPr>
            <w:tcW w:w="900" w:type="dxa"/>
            <w:tcBorders>
              <w:top w:val="inset" w:color="000000" w:sz="6" w:space="0"/>
              <w:left w:val="single" w:color="auto" w:sz="6" w:space="0"/>
              <w:bottom w:val="single" w:color="auto" w:sz="4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合法稳定的工作就业（包括在个体、集体企业或机关单位工作）。</w:t>
            </w:r>
          </w:p>
        </w:tc>
        <w:tc>
          <w:tcPr>
            <w:tcW w:w="171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（在我市工作满6个月而未满一年的按6个月计。本项不累计计分，最高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分）</w:t>
            </w:r>
          </w:p>
        </w:tc>
        <w:tc>
          <w:tcPr>
            <w:tcW w:w="6405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适龄随迁子女父母其中一方在我市工作（就业）每满6个月得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1.2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，如此类推，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满分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只计算得分最高的一方，不累计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585" w:type="dxa"/>
            <w:vMerge w:val="continue"/>
            <w:tcBorders>
              <w:left w:val="inset" w:color="000000" w:sz="6" w:space="0"/>
              <w:bottom w:val="single" w:color="auto" w:sz="4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15" w:type="dxa"/>
            <w:tcBorders>
              <w:top w:val="inset" w:color="000000" w:sz="6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  <w:t>社保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  <w:t>条件</w:t>
            </w:r>
          </w:p>
        </w:tc>
        <w:tc>
          <w:tcPr>
            <w:tcW w:w="900" w:type="dxa"/>
            <w:tcBorders>
              <w:top w:val="inset" w:color="000000" w:sz="6" w:space="0"/>
              <w:left w:val="single" w:color="auto" w:sz="6" w:space="0"/>
              <w:bottom w:val="single" w:color="auto" w:sz="4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广东省内缴纳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社会保险缴费年限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近5年内）</w:t>
            </w:r>
          </w:p>
        </w:tc>
        <w:tc>
          <w:tcPr>
            <w:tcW w:w="171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分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广东省内缴纳社保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满6个月而未满一年的按6个月计。本项不累计计分，最高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分）</w:t>
            </w:r>
          </w:p>
        </w:tc>
        <w:tc>
          <w:tcPr>
            <w:tcW w:w="6405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近5年内，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适龄随迁子女父母任一方在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广东省内参加社会保险。在广东省内、四会市外参加社会保险的，每满6个月加0.8分，最高8分；在四会市内参加社会保险的，每满6个月加1.6分，最高16分。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本项不累计，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最高16分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（必须有养老和医疗保险两项）。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  <w:t>加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  <w:t>分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  <w:t>指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  <w:t>标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  <w:t>专业</w:t>
            </w:r>
          </w:p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  <w:t>技术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级职称或职业资格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级及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以上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不累计计分，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最高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适龄随迁子女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父母任一方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服务单位在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四会市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内，具有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级职称或职业资格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级的，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加0.5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分；具有中级职称或职业资格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级的，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加1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具有高级职称或职业资格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级及以上的，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加2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分。按照就高不就低的原则计分，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本项不累计计分，最高2分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  <w:t>荣誉</w:t>
            </w:r>
          </w:p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  <w:t>表彰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表彰奖励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近5年内）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不累计计分，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最高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近5年内，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适龄随迁子女父母任一方在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四会市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工作期间获得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县处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级以上表彰奖励荣誉的给予加分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县处级加0.5分，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地厅级加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省部级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加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分.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本项最高2分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85" w:type="dxa"/>
            <w:vMerge w:val="continue"/>
            <w:tcBorders>
              <w:left w:val="single" w:color="auto" w:sz="4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inset" w:color="000000" w:sz="6" w:space="0"/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eastAsia="zh-CN"/>
              </w:rPr>
              <w:t>社会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  <w:t>服务</w:t>
            </w:r>
          </w:p>
        </w:tc>
        <w:tc>
          <w:tcPr>
            <w:tcW w:w="90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参加我市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志愿者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近5年内）</w:t>
            </w:r>
          </w:p>
        </w:tc>
        <w:tc>
          <w:tcPr>
            <w:tcW w:w="171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本项可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累计计分，最高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分）</w:t>
            </w:r>
          </w:p>
        </w:tc>
        <w:tc>
          <w:tcPr>
            <w:tcW w:w="6405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近5年内，适龄随迁子女父母其中一方通过“粤省事”小程序关联注册志愿者证，并参加我市志愿者等社会服务工作每满50小时加0.5分，此后每满10小时加0.1分，如此类推，双方累加最高2分。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85" w:type="dxa"/>
            <w:vMerge w:val="continue"/>
            <w:tcBorders>
              <w:left w:val="single" w:color="auto" w:sz="4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15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0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参加我市无偿献血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近5年内）</w:t>
            </w:r>
          </w:p>
        </w:tc>
        <w:tc>
          <w:tcPr>
            <w:tcW w:w="171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本项可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累计计分，最高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分）</w:t>
            </w:r>
          </w:p>
        </w:tc>
        <w:tc>
          <w:tcPr>
            <w:tcW w:w="6405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近5年内，适龄随迁子女父母其中一方通过“粤省事”小程序关联注册献血证，并参加无偿献血，一次献血200毫升或献单采血小板1个治疗量可加0.5分，双方累加最高2分。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585" w:type="dxa"/>
            <w:vMerge w:val="continue"/>
            <w:tcBorders>
              <w:left w:val="single" w:color="auto" w:sz="4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15" w:type="dxa"/>
            <w:vMerge w:val="continue"/>
            <w:tcBorders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0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从事我市环卫工作岗位人员</w:t>
            </w:r>
          </w:p>
        </w:tc>
        <w:tc>
          <w:tcPr>
            <w:tcW w:w="171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3分</w:t>
            </w:r>
          </w:p>
          <w:p>
            <w:pPr>
              <w:spacing w:line="240" w:lineRule="exact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不累计计分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，最高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分）</w:t>
            </w:r>
          </w:p>
        </w:tc>
        <w:tc>
          <w:tcPr>
            <w:tcW w:w="6405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适龄随迁子女父母其中一方在四会市从事环卫工作连续1年或以上、购买社保连续1年或以上，满1年加2分，此后每满6个月加0.5分，满分3分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只计算得分最高的一方，不累计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585" w:type="dxa"/>
            <w:vMerge w:val="continue"/>
            <w:tcBorders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61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eastAsia="zh-CN"/>
              </w:rPr>
              <w:t>延续性教育条件</w:t>
            </w:r>
          </w:p>
        </w:tc>
        <w:tc>
          <w:tcPr>
            <w:tcW w:w="90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在四会市许可办学的幼儿园、小学接受教育。</w:t>
            </w:r>
          </w:p>
        </w:tc>
        <w:tc>
          <w:tcPr>
            <w:tcW w:w="171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（满6个月而未满一年的按6个月计，最高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分）</w:t>
            </w:r>
          </w:p>
        </w:tc>
        <w:tc>
          <w:tcPr>
            <w:tcW w:w="6405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1.申请入读小学一年级的，在四会市许可办学的幼儿园接受1、2、3年学前教育的，分别得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1、2、3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分，最高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分。</w:t>
            </w:r>
          </w:p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2.申请入读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年级的，在四会市许可办学的小学接受1、2、3、4、5、6年小学教育的，分别得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0.5、1、1.5、2、2.5、3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分，最高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00" w:type="dxa"/>
            <w:gridSpan w:val="3"/>
            <w:tcBorders>
              <w:top w:val="inset" w:color="000000" w:sz="6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ind w:firstLine="211" w:firstLineChars="1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eastAsia="zh-CN"/>
              </w:rPr>
              <w:t>指标项目合计分值</w:t>
            </w:r>
          </w:p>
        </w:tc>
        <w:tc>
          <w:tcPr>
            <w:tcW w:w="171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100</w:t>
            </w:r>
          </w:p>
        </w:tc>
        <w:tc>
          <w:tcPr>
            <w:tcW w:w="6405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</w:tbl>
    <w:p>
      <w:pPr>
        <w:pStyle w:val="2"/>
        <w:rPr>
          <w:rFonts w:hint="eastAsia"/>
          <w:color w:val="auto"/>
          <w:lang w:eastAsia="zh-CN"/>
        </w:rPr>
      </w:pPr>
    </w:p>
    <w:p>
      <w:pPr>
        <w:pStyle w:val="2"/>
        <w:rPr>
          <w:rFonts w:hint="eastAsia"/>
          <w:color w:val="auto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/>
          <w:color w:val="auto"/>
          <w:kern w:val="0"/>
          <w:sz w:val="24"/>
        </w:rPr>
      </w:pPr>
      <w:r>
        <w:rPr>
          <w:rFonts w:hint="eastAsia" w:ascii="宋体" w:hAnsi="宋体" w:cs="仿宋_GB2312"/>
          <w:b/>
          <w:bCs/>
          <w:color w:val="auto"/>
          <w:kern w:val="0"/>
          <w:sz w:val="24"/>
        </w:rPr>
        <w:t>说明：</w:t>
      </w:r>
      <w:r>
        <w:rPr>
          <w:rFonts w:hint="eastAsia" w:ascii="仿宋_GB2312" w:hAnsi="仿宋_GB2312"/>
          <w:color w:val="auto"/>
          <w:kern w:val="0"/>
          <w:sz w:val="24"/>
        </w:rPr>
        <w:t>所有证件、证书、证明都必须提供原件和复印件核对，经办报名点存复印件。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AB8B87A-3972-4B2B-A008-AC68A6FC20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9C43910-A56B-4F87-8226-44FAC5E498A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81E37F9-6895-4443-80CE-195655DE31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YTBkYTlhOTI1Y2FlNzYxMDU4ZDJiZjA2NWU2MmYifQ=="/>
  </w:docVars>
  <w:rsids>
    <w:rsidRoot w:val="2DC94AA7"/>
    <w:rsid w:val="2DC94AA7"/>
    <w:rsid w:val="68D6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2024-04-11T06:46:00Z</dcterms:created>
  <dc:creator>帖古2007</dc:creator>
  <cp:lastModifiedBy>帖古2007</cp:lastModifiedBy>
  <dcterms:modified xsi:type="dcterms:W3CDTF">2024-04-11T07:01:39Z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653D6E0BA505429898D019B277C8C938_11</vt:lpwstr>
  </property>
</Properties>
</file>